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–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s propostas aprovadas serão financiadas com recursos no valor global de R$ 59.200.000,00 (cinquenta e nove milhões e duzentos mil reais), sendo R$ 30.000.000,00 (trinta milhões) oriundos do orçamento do CNPq, e recursos oriundos de cada uma das Fundações de Amparo à Pesquisa conforme descritos no Anexo II, a ser(em) liberado(s) de acordo com a disponibilidade orçamentária e financeira do CNPq e da referida FAP e na forma pactuada no referido ajuste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Outros recursos decorrentes de parcerias futuras poderão ser aplicados na suplementação de propostas aprovadas no âmbito desta Chamada e/ou na contratação de novos projetos dentre os aprovados quanto ao mérito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Quando o desembolso ocorrer em mais de um exercício financeiro, o repasse de cada ano ficará condicionado à disponibilidade orçamentária e financeira do CNPq e dos demais parceiros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Identificada a conveniência e a oportunidade e havendo disponibilidade de recursos adicionais para esta Chamada, em qualquer fase, o CNPq e o(s) parceiro(s) poderá (ão) suplementar os projetos contratados e/ou contratar novos projetos dentre os aprovados quanto ao mérito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No caso descrito no subitem 2, excepcionalmente, a seleção dos projetos a serem suplementados ou contratados pelo CNPq e pelo(s) parceiro(s) seguirá a prioridade determinada pela Diretoria Executiva do CNPq (DEX), por meio de decisão devidamente fundamentada, ou pelo(s) parceiro(s), mediante justificativa e aprovação da DEX, levando-se em consideração questões regionais e no interesse públic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